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231DC" w14:textId="77777777" w:rsidR="009D412B" w:rsidRDefault="00000000">
      <w:pPr>
        <w:widowControl/>
        <w:spacing w:line="480" w:lineRule="exact"/>
        <w:jc w:val="left"/>
        <w:rPr>
          <w:rFonts w:asciiTheme="minorEastAsia" w:hAnsiTheme="minorEastAsia" w:cstheme="minorEastAsia" w:hint="eastAsia"/>
          <w:b/>
          <w:bCs/>
          <w:kern w:val="0"/>
          <w:sz w:val="28"/>
          <w:szCs w:val="28"/>
          <w:lang w:bidi="ar"/>
        </w:rPr>
      </w:pPr>
      <w:bookmarkStart w:id="0" w:name="OLE_LINK3"/>
      <w:bookmarkStart w:id="1" w:name="OLE_LINK4"/>
      <w:r>
        <w:rPr>
          <w:rFonts w:asciiTheme="minorEastAsia" w:hAnsiTheme="minorEastAsia" w:cstheme="minorEastAsia" w:hint="eastAsia"/>
          <w:b/>
          <w:bCs/>
          <w:kern w:val="0"/>
          <w:sz w:val="28"/>
          <w:szCs w:val="28"/>
          <w:lang w:bidi="ar"/>
        </w:rPr>
        <w:t xml:space="preserve">附件1       </w:t>
      </w:r>
    </w:p>
    <w:p w14:paraId="167FA7D5" w14:textId="77777777" w:rsidR="009D412B" w:rsidRDefault="009D412B">
      <w:pPr>
        <w:widowControl/>
        <w:spacing w:line="480" w:lineRule="exact"/>
        <w:jc w:val="left"/>
        <w:rPr>
          <w:rFonts w:asciiTheme="minorEastAsia" w:hAnsiTheme="minorEastAsia" w:cstheme="minorEastAsia" w:hint="eastAsia"/>
          <w:b/>
          <w:bCs/>
          <w:kern w:val="0"/>
          <w:sz w:val="24"/>
          <w:lang w:bidi="ar"/>
        </w:rPr>
      </w:pPr>
    </w:p>
    <w:p w14:paraId="3A5640DD" w14:textId="77777777" w:rsidR="009D412B" w:rsidRDefault="00000000">
      <w:pPr>
        <w:widowControl/>
        <w:spacing w:line="480" w:lineRule="exact"/>
        <w:jc w:val="left"/>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一、项目任务</w:t>
      </w:r>
    </w:p>
    <w:p w14:paraId="1A0337C1"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按照工作要求，根据相关法律法规，配合协助完成我单位相关项目代理服务工作，包括依据相关程序开展采购公告发布、发售采购文件、组织专家评审、采购结果发布、配合处理可能面临的质疑投诉等，以及提供采购咨询、培训、文件论证等工作。</w:t>
      </w:r>
    </w:p>
    <w:p w14:paraId="087E95F2" w14:textId="77777777" w:rsidR="009D412B" w:rsidRDefault="00000000">
      <w:pPr>
        <w:widowControl/>
        <w:spacing w:line="480" w:lineRule="exact"/>
        <w:jc w:val="left"/>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二、遴选数量及期限</w:t>
      </w:r>
    </w:p>
    <w:p w14:paraId="7B4B2C8B"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遴选不超过9家具备资格、满足要求的代理机构，为我医院提供货物类和服务类、工程类招标采购代理服务。</w:t>
      </w:r>
    </w:p>
    <w:p w14:paraId="0DF8C337"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1.货物和服务类：负责医院的医疗设备或其他设备等货物类的招标代理工作；负责医院医疗服务、后勤服务、信息化建设服务等服务类的招标代理工作。入围不超过6家，服务期限为3年，具体期限以签订服务协议日期为准。</w:t>
      </w:r>
    </w:p>
    <w:p w14:paraId="1B65CC0E"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2.工程类：负责医院的建筑工程、房屋装修改造及改扩建等工程，以及相关的勘察、设计、施工、监理等招标代理工作。入围不超过3家，服务期限为3年，具体期限以签订服务协议日期为准。</w:t>
      </w:r>
    </w:p>
    <w:p w14:paraId="2B51FBF8"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两项服务按照兼投不兼中原则进行遴选。</w:t>
      </w:r>
    </w:p>
    <w:p w14:paraId="033C2C7E"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医院将定期进行评估，若发现部分机构服务不佳或因业务拓展需增加服务力量，医院将会启动淘汰退出及增选程序。</w:t>
      </w:r>
    </w:p>
    <w:p w14:paraId="3683979E" w14:textId="77777777" w:rsidR="009D412B" w:rsidRDefault="00000000">
      <w:pPr>
        <w:widowControl/>
        <w:spacing w:line="480" w:lineRule="exact"/>
        <w:jc w:val="left"/>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三、资质及其他要求</w:t>
      </w:r>
    </w:p>
    <w:p w14:paraId="715C6AEE"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 xml:space="preserve">1.申请人须在中华人民共和国境内注册，具有独立承担民事责任的能力。  </w:t>
      </w:r>
    </w:p>
    <w:p w14:paraId="017F17D6"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2.申请单位须具有良好的商业信誉和健全的财务会计制度。</w:t>
      </w:r>
    </w:p>
    <w:p w14:paraId="03C22B76"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3.申请单位须具有履行合同所必需的设备和专业技术能力。</w:t>
      </w:r>
    </w:p>
    <w:p w14:paraId="4B0A029E"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4.申请单位须有依法缴纳税收和社会保障资金的良好记录。</w:t>
      </w:r>
    </w:p>
    <w:p w14:paraId="5A1347F0"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5.申请单位在参加采购活动前三年内，在经营活动中没有重大违法记录（重大违法记录指因违法经营受到刑事处罚或者责令停产停业、吊销许可证或者执照、较大数额罚款等行政处罚，不包括因违法经营被禁止在一定期限内参加采购活动，但期限已经届满的情形）。</w:t>
      </w:r>
    </w:p>
    <w:p w14:paraId="30BBA94A"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6.申请单位须具有政府采购代理能力，在《中国政府采购网》或其分网站《北京市政府采购网》登记的代理机构；工程类的代理机构还应提供《北京工程建设交易信息网》《北京住房和城乡建设委员会》登记备案。</w:t>
      </w:r>
    </w:p>
    <w:p w14:paraId="2A5A5353"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lastRenderedPageBreak/>
        <w:t>7.申请单位不存在为采购项目提供整体设计、规范编制或者项目管理、监理、检测等服务后，再参加该采购项目的其他采购活动的情形（单一来源采购项目除外）。</w:t>
      </w:r>
    </w:p>
    <w:p w14:paraId="663B7004"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8.申请单位与本单位负责人为同一人或者与本单位存在控股关系、管理关系的其他关联供应商未参与同一合同项下的遴选响应声明。</w:t>
      </w:r>
    </w:p>
    <w:p w14:paraId="114533A1"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 xml:space="preserve">9.申请单位须遵循公平竞争的原则，不存在恶意串通，妨碍其他供应商的竞争行为，不存在损害采购人或者其他供应商的合法权益情形，不存在串通响应的情形。  </w:t>
      </w:r>
    </w:p>
    <w:p w14:paraId="26DA69BA"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10.申请单位承诺提供的项目申报相关材料均为真实，并愿意承担相应责任。</w:t>
      </w:r>
    </w:p>
    <w:p w14:paraId="2416CDED"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11.本项目不接受联合体。</w:t>
      </w:r>
    </w:p>
    <w:p w14:paraId="19E6D045"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12.合法律、行政法规规定的其它要求。</w:t>
      </w:r>
    </w:p>
    <w:p w14:paraId="46D0B25F" w14:textId="77777777" w:rsidR="009D412B" w:rsidRDefault="00000000">
      <w:pPr>
        <w:widowControl/>
        <w:spacing w:line="480" w:lineRule="exact"/>
        <w:jc w:val="left"/>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四、响应文件要求</w:t>
      </w:r>
    </w:p>
    <w:p w14:paraId="4F57AF0B" w14:textId="77777777" w:rsidR="009D412B" w:rsidRDefault="00000000">
      <w:pPr>
        <w:widowControl/>
        <w:numPr>
          <w:ilvl w:val="0"/>
          <w:numId w:val="1"/>
        </w:numPr>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代理服务费收费承诺函</w:t>
      </w:r>
    </w:p>
    <w:p w14:paraId="71E30C3D" w14:textId="77777777" w:rsidR="009D412B" w:rsidRDefault="00000000">
      <w:pPr>
        <w:widowControl/>
        <w:numPr>
          <w:ilvl w:val="0"/>
          <w:numId w:val="1"/>
        </w:numPr>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企业概况</w:t>
      </w:r>
    </w:p>
    <w:p w14:paraId="2E5978CC" w14:textId="77777777" w:rsidR="009D412B" w:rsidRDefault="00000000">
      <w:pPr>
        <w:widowControl/>
        <w:numPr>
          <w:ilvl w:val="0"/>
          <w:numId w:val="1"/>
        </w:numPr>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资格条件证明文件：</w:t>
      </w:r>
    </w:p>
    <w:p w14:paraId="397BEEAB" w14:textId="77777777" w:rsidR="009D412B" w:rsidRDefault="00000000">
      <w:pPr>
        <w:widowControl/>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（1）营业执照等证明文件复印件</w:t>
      </w:r>
      <w:proofErr w:type="gramStart"/>
      <w:r>
        <w:rPr>
          <w:rFonts w:asciiTheme="minorEastAsia" w:hAnsiTheme="minorEastAsia" w:cstheme="minorEastAsia" w:hint="eastAsia"/>
          <w:kern w:val="0"/>
          <w:sz w:val="24"/>
          <w:lang w:bidi="ar"/>
        </w:rPr>
        <w:t>(须加盖本单位公章)</w:t>
      </w:r>
      <w:proofErr w:type="gramEnd"/>
      <w:r>
        <w:rPr>
          <w:rFonts w:asciiTheme="minorEastAsia" w:hAnsiTheme="minorEastAsia" w:cstheme="minorEastAsia" w:hint="eastAsia"/>
          <w:kern w:val="0"/>
          <w:sz w:val="24"/>
          <w:lang w:bidi="ar"/>
        </w:rPr>
        <w:t>、如为外地企业需提供进京备案许可；</w:t>
      </w:r>
    </w:p>
    <w:p w14:paraId="627FF7AD" w14:textId="77777777" w:rsidR="009D412B" w:rsidRDefault="00000000">
      <w:pPr>
        <w:widowControl/>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（2）法定代表人授权书(须加盖本单位公章、法人章、被授权人</w:t>
      </w:r>
      <w:proofErr w:type="gramStart"/>
      <w:r>
        <w:rPr>
          <w:rFonts w:asciiTheme="minorEastAsia" w:hAnsiTheme="minorEastAsia" w:cstheme="minorEastAsia" w:hint="eastAsia"/>
          <w:kern w:val="0"/>
          <w:sz w:val="24"/>
          <w:lang w:bidi="ar"/>
        </w:rPr>
        <w:t>签字)</w:t>
      </w:r>
      <w:proofErr w:type="gramEnd"/>
      <w:r>
        <w:rPr>
          <w:rFonts w:asciiTheme="minorEastAsia" w:hAnsiTheme="minorEastAsia" w:cstheme="minorEastAsia" w:hint="eastAsia"/>
          <w:kern w:val="0"/>
          <w:sz w:val="24"/>
          <w:lang w:bidi="ar"/>
        </w:rPr>
        <w:t>、法定代表人身份证复印件、授权人身份证复印件</w:t>
      </w:r>
      <w:proofErr w:type="gramStart"/>
      <w:r>
        <w:rPr>
          <w:rFonts w:asciiTheme="minorEastAsia" w:hAnsiTheme="minorEastAsia" w:cstheme="minorEastAsia" w:hint="eastAsia"/>
          <w:kern w:val="0"/>
          <w:sz w:val="24"/>
          <w:lang w:bidi="ar"/>
        </w:rPr>
        <w:t>等;</w:t>
      </w:r>
      <w:proofErr w:type="gramEnd"/>
    </w:p>
    <w:p w14:paraId="624D94B7" w14:textId="77777777" w:rsidR="009D412B" w:rsidRDefault="00000000">
      <w:pPr>
        <w:widowControl/>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（3）具有履行合同所必需的设备和专业技术能力，提供承诺书加盖单位</w:t>
      </w:r>
      <w:proofErr w:type="gramStart"/>
      <w:r>
        <w:rPr>
          <w:rFonts w:asciiTheme="minorEastAsia" w:hAnsiTheme="minorEastAsia" w:cstheme="minorEastAsia" w:hint="eastAsia"/>
          <w:kern w:val="0"/>
          <w:sz w:val="24"/>
          <w:lang w:bidi="ar"/>
        </w:rPr>
        <w:t>公章;</w:t>
      </w:r>
      <w:proofErr w:type="gramEnd"/>
    </w:p>
    <w:p w14:paraId="554F2DC2" w14:textId="77777777" w:rsidR="009D412B" w:rsidRDefault="00000000">
      <w:pPr>
        <w:widowControl/>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（4）具有良好的商业信誉和健全的财务会计制度的证明文件，提供承诺书加盖单位</w:t>
      </w:r>
      <w:proofErr w:type="gramStart"/>
      <w:r>
        <w:rPr>
          <w:rFonts w:asciiTheme="minorEastAsia" w:hAnsiTheme="minorEastAsia" w:cstheme="minorEastAsia" w:hint="eastAsia"/>
          <w:kern w:val="0"/>
          <w:sz w:val="24"/>
          <w:lang w:bidi="ar"/>
        </w:rPr>
        <w:t>公章;</w:t>
      </w:r>
      <w:proofErr w:type="gramEnd"/>
    </w:p>
    <w:p w14:paraId="599B604A" w14:textId="77777777" w:rsidR="009D412B" w:rsidRDefault="00000000">
      <w:pPr>
        <w:widowControl/>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（5）具有依法缴纳税收和社会保障资金的良好记录，提供承诺书加盖单位</w:t>
      </w:r>
      <w:proofErr w:type="gramStart"/>
      <w:r>
        <w:rPr>
          <w:rFonts w:asciiTheme="minorEastAsia" w:hAnsiTheme="minorEastAsia" w:cstheme="minorEastAsia" w:hint="eastAsia"/>
          <w:kern w:val="0"/>
          <w:sz w:val="24"/>
          <w:lang w:bidi="ar"/>
        </w:rPr>
        <w:t>公章;</w:t>
      </w:r>
      <w:proofErr w:type="gramEnd"/>
    </w:p>
    <w:p w14:paraId="38C9D78B" w14:textId="77777777" w:rsidR="009D412B" w:rsidRDefault="00000000">
      <w:pPr>
        <w:widowControl/>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（6）提供参加政府采购活动前3年内在经营活动中没有重大违法记录的书面声明</w:t>
      </w:r>
      <w:proofErr w:type="gramStart"/>
      <w:r>
        <w:rPr>
          <w:rFonts w:asciiTheme="minorEastAsia" w:hAnsiTheme="minorEastAsia" w:cstheme="minorEastAsia" w:hint="eastAsia"/>
          <w:kern w:val="0"/>
          <w:sz w:val="24"/>
          <w:lang w:bidi="ar"/>
        </w:rPr>
        <w:t>(须加盖本单位公章)</w:t>
      </w:r>
      <w:proofErr w:type="gramEnd"/>
      <w:r>
        <w:rPr>
          <w:rFonts w:asciiTheme="minorEastAsia" w:hAnsiTheme="minorEastAsia" w:cstheme="minorEastAsia" w:hint="eastAsia"/>
          <w:kern w:val="0"/>
          <w:sz w:val="24"/>
          <w:lang w:bidi="ar"/>
        </w:rPr>
        <w:t>;</w:t>
      </w:r>
    </w:p>
    <w:p w14:paraId="325EAF1D" w14:textId="77777777" w:rsidR="009D412B" w:rsidRDefault="00000000">
      <w:pPr>
        <w:widowControl/>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（7）明确代理机构能力及擅长领域</w:t>
      </w:r>
    </w:p>
    <w:p w14:paraId="7570A72D"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包括不限于是否具有政府采购代理能力，即应是已在《中国政府采购网》或其分网站《北京市政府采购网》登记的代理机构。</w:t>
      </w:r>
    </w:p>
    <w:p w14:paraId="7DCA59A9"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是否能够承接完成的医疗设备或医疗服务或医院工程项目招标。</w:t>
      </w:r>
    </w:p>
    <w:p w14:paraId="56DEB363"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lastRenderedPageBreak/>
        <w:t>擅长领域须提供证明截图加盖本单位公章。</w:t>
      </w:r>
    </w:p>
    <w:p w14:paraId="3894B4B5" w14:textId="77777777" w:rsidR="009D412B" w:rsidRDefault="00000000">
      <w:pPr>
        <w:widowControl/>
        <w:numPr>
          <w:ilvl w:val="0"/>
          <w:numId w:val="1"/>
        </w:numPr>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有效的质量管理体系认证证书、环境管理体系认证证书、职业健康管理体系认证证书复印件加盖单位公章。</w:t>
      </w:r>
    </w:p>
    <w:p w14:paraId="3BE55221" w14:textId="77777777" w:rsidR="009D412B" w:rsidRDefault="00000000">
      <w:pPr>
        <w:widowControl/>
        <w:numPr>
          <w:ilvl w:val="0"/>
          <w:numId w:val="1"/>
        </w:numPr>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业绩情况</w:t>
      </w:r>
    </w:p>
    <w:p w14:paraId="678C95AD" w14:textId="77777777" w:rsidR="009D412B" w:rsidRDefault="00000000">
      <w:pPr>
        <w:widowControl/>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需提供2022年1月至今招标代理业绩情况，并提供证明文件。</w:t>
      </w:r>
    </w:p>
    <w:p w14:paraId="1756F7F3" w14:textId="77777777" w:rsidR="009D412B" w:rsidRDefault="00000000">
      <w:pPr>
        <w:widowControl/>
        <w:numPr>
          <w:ilvl w:val="0"/>
          <w:numId w:val="1"/>
        </w:numPr>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人员配备</w:t>
      </w:r>
    </w:p>
    <w:p w14:paraId="7E72E08B"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项目负责人的职称、工作年限、是否为评标专家情况及项目团队人员构成情况，提供人员相关证书及近3个月中任意1个月社保缴纳证明复印件加盖单位公章。</w:t>
      </w:r>
    </w:p>
    <w:p w14:paraId="181D2857" w14:textId="77777777" w:rsidR="009D412B" w:rsidRDefault="00000000">
      <w:pPr>
        <w:widowControl/>
        <w:numPr>
          <w:ilvl w:val="0"/>
          <w:numId w:val="1"/>
        </w:numPr>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项目实施方案</w:t>
      </w:r>
    </w:p>
    <w:p w14:paraId="31A13E30" w14:textId="77777777" w:rsidR="009D412B" w:rsidRDefault="00000000">
      <w:pPr>
        <w:widowControl/>
        <w:spacing w:line="480" w:lineRule="exact"/>
        <w:ind w:firstLineChars="200" w:firstLine="480"/>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提供针对本项目的项目实施方案，包括但不限于：项目理解、各类采购方式各阶段服务内容、项目实施保障、质量控制措施、项目服务保障、风险控制方案、合理化建议、专家团队储备情况（须标明专家行业或资质情况）具有完备的政府采购资料档案保管的管理制度和场所的证明。</w:t>
      </w:r>
    </w:p>
    <w:p w14:paraId="11DB9434" w14:textId="77777777" w:rsidR="009D412B" w:rsidRDefault="00000000">
      <w:pPr>
        <w:widowControl/>
        <w:numPr>
          <w:ilvl w:val="0"/>
          <w:numId w:val="1"/>
        </w:numPr>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典型案例介绍：招标项目的规模、招标项目的专业性、招标项目的完成情况。对2022年1月1日至今承接完成的某一个</w:t>
      </w:r>
      <w:proofErr w:type="gramStart"/>
      <w:r>
        <w:rPr>
          <w:rFonts w:asciiTheme="minorEastAsia" w:hAnsiTheme="minorEastAsia" w:cstheme="minorEastAsia" w:hint="eastAsia"/>
          <w:kern w:val="0"/>
          <w:sz w:val="24"/>
          <w:lang w:bidi="ar"/>
        </w:rPr>
        <w:t>(或多个)</w:t>
      </w:r>
      <w:proofErr w:type="gramEnd"/>
      <w:r>
        <w:rPr>
          <w:rFonts w:asciiTheme="minorEastAsia" w:hAnsiTheme="minorEastAsia" w:cstheme="minorEastAsia" w:hint="eastAsia"/>
          <w:kern w:val="0"/>
          <w:sz w:val="24"/>
          <w:lang w:bidi="ar"/>
        </w:rPr>
        <w:t>货物/服务和工程典型招标案例进行介绍。</w:t>
      </w:r>
    </w:p>
    <w:p w14:paraId="2FD13D6C" w14:textId="77777777" w:rsidR="009D412B" w:rsidRDefault="00000000">
      <w:pPr>
        <w:widowControl/>
        <w:numPr>
          <w:ilvl w:val="0"/>
          <w:numId w:val="1"/>
        </w:numPr>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服务承诺：双方责任和义务承诺、费率支付承诺、工作保密承诺等。</w:t>
      </w:r>
    </w:p>
    <w:p w14:paraId="092E2A5C" w14:textId="77777777" w:rsidR="009D412B" w:rsidRDefault="00000000">
      <w:pPr>
        <w:widowControl/>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10.申请单位与本单位负责人为同一人或者与本单位存在控股关系、管理关系的其他关联供应商未参与同一合同项下的遴选响应声明。</w:t>
      </w:r>
    </w:p>
    <w:p w14:paraId="4B1BC1E5" w14:textId="77777777" w:rsidR="009D412B" w:rsidRDefault="00000000">
      <w:pPr>
        <w:widowControl/>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11.证明公司承接能力的其他相关文件，包括不限于质量管理体系认证、经营状况等。</w:t>
      </w:r>
    </w:p>
    <w:p w14:paraId="02EA4A0F" w14:textId="77777777" w:rsidR="009D412B" w:rsidRDefault="00000000">
      <w:pPr>
        <w:widowControl/>
        <w:spacing w:line="480" w:lineRule="exact"/>
        <w:jc w:val="left"/>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12.招标代理机构认为需要加以说明的其他内容。</w:t>
      </w:r>
    </w:p>
    <w:p w14:paraId="7127C915" w14:textId="77777777" w:rsidR="009D412B" w:rsidRDefault="00000000">
      <w:pPr>
        <w:widowControl/>
        <w:spacing w:line="480" w:lineRule="exact"/>
        <w:jc w:val="left"/>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五、评审办法</w:t>
      </w:r>
    </w:p>
    <w:p w14:paraId="1E5A2E35" w14:textId="77777777" w:rsidR="009D412B" w:rsidRDefault="00000000">
      <w:pPr>
        <w:widowControl/>
        <w:spacing w:line="480" w:lineRule="exact"/>
        <w:jc w:val="left"/>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1．总则</w:t>
      </w:r>
    </w:p>
    <w:p w14:paraId="04AB7050" w14:textId="77777777" w:rsidR="009D412B" w:rsidRDefault="00000000">
      <w:pPr>
        <w:tabs>
          <w:tab w:val="left" w:pos="2560"/>
        </w:tabs>
        <w:spacing w:line="480" w:lineRule="exact"/>
        <w:rPr>
          <w:rFonts w:asciiTheme="minorEastAsia" w:hAnsiTheme="minorEastAsia" w:cstheme="minorEastAsia" w:hint="eastAsia"/>
          <w:sz w:val="24"/>
        </w:rPr>
      </w:pPr>
      <w:r>
        <w:rPr>
          <w:rFonts w:asciiTheme="minorEastAsia" w:hAnsiTheme="minorEastAsia" w:cstheme="minorEastAsia" w:hint="eastAsia"/>
          <w:sz w:val="24"/>
        </w:rPr>
        <w:t>（1）本评审办法依据本项目的实际情况制定。</w:t>
      </w:r>
    </w:p>
    <w:p w14:paraId="4000645C" w14:textId="77777777" w:rsidR="009D412B" w:rsidRDefault="00000000">
      <w:pPr>
        <w:tabs>
          <w:tab w:val="left" w:pos="2560"/>
        </w:tabs>
        <w:spacing w:line="480" w:lineRule="exact"/>
        <w:rPr>
          <w:rFonts w:asciiTheme="minorEastAsia" w:hAnsiTheme="minorEastAsia" w:cstheme="minorEastAsia" w:hint="eastAsia"/>
          <w:sz w:val="24"/>
        </w:rPr>
      </w:pPr>
      <w:r>
        <w:rPr>
          <w:rFonts w:asciiTheme="minorEastAsia" w:hAnsiTheme="minorEastAsia" w:cstheme="minorEastAsia" w:hint="eastAsia"/>
          <w:sz w:val="24"/>
        </w:rPr>
        <w:t xml:space="preserve">（2）本次遴选活动遵循公平、公正的原则。 </w:t>
      </w:r>
    </w:p>
    <w:p w14:paraId="6A16F935" w14:textId="77777777" w:rsidR="009D412B" w:rsidRDefault="00000000">
      <w:pPr>
        <w:tabs>
          <w:tab w:val="left" w:pos="2560"/>
        </w:tabs>
        <w:spacing w:line="480" w:lineRule="exact"/>
        <w:rPr>
          <w:rFonts w:asciiTheme="minorEastAsia" w:hAnsiTheme="minorEastAsia" w:cstheme="minorEastAsia" w:hint="eastAsia"/>
          <w:sz w:val="24"/>
        </w:rPr>
      </w:pPr>
      <w:r>
        <w:rPr>
          <w:rFonts w:asciiTheme="minorEastAsia" w:hAnsiTheme="minorEastAsia" w:cstheme="minorEastAsia" w:hint="eastAsia"/>
          <w:sz w:val="24"/>
        </w:rPr>
        <w:t>（3）评审工作由医院组成的评审委员会进行评审。</w:t>
      </w:r>
    </w:p>
    <w:p w14:paraId="0E6353A7" w14:textId="77777777" w:rsidR="009D412B" w:rsidRDefault="00000000">
      <w:pPr>
        <w:widowControl/>
        <w:spacing w:line="480" w:lineRule="exact"/>
        <w:jc w:val="left"/>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2．初步审核</w:t>
      </w:r>
    </w:p>
    <w:p w14:paraId="138CE8A4" w14:textId="77777777" w:rsidR="009D412B" w:rsidRDefault="00000000">
      <w:pPr>
        <w:tabs>
          <w:tab w:val="left" w:pos="2560"/>
        </w:tabs>
        <w:spacing w:line="480" w:lineRule="exact"/>
        <w:rPr>
          <w:rFonts w:asciiTheme="minorEastAsia" w:hAnsiTheme="minorEastAsia" w:cstheme="minorEastAsia" w:hint="eastAsia"/>
          <w:sz w:val="24"/>
        </w:rPr>
      </w:pPr>
      <w:r>
        <w:rPr>
          <w:rFonts w:asciiTheme="minorEastAsia" w:hAnsiTheme="minorEastAsia" w:cstheme="minorEastAsia" w:hint="eastAsia"/>
          <w:sz w:val="24"/>
        </w:rPr>
        <w:t>（1）初步审核主要为遴选响应文件的符合性检查，只有通过符合性评审的遴选响应文件，才能进入下一阶段的详细评审。初评主要审查：申请人递交的参选资</w:t>
      </w:r>
      <w:r>
        <w:rPr>
          <w:rFonts w:asciiTheme="minorEastAsia" w:hAnsiTheme="minorEastAsia" w:cstheme="minorEastAsia" w:hint="eastAsia"/>
          <w:sz w:val="24"/>
        </w:rPr>
        <w:lastRenderedPageBreak/>
        <w:t>格要求证明文件，只有资格条件符合遴选文件要求的申请人，方能进入详细评审。</w:t>
      </w:r>
    </w:p>
    <w:p w14:paraId="1FC58D2F" w14:textId="77777777" w:rsidR="009D412B" w:rsidRDefault="00000000">
      <w:pPr>
        <w:spacing w:line="480" w:lineRule="exact"/>
        <w:rPr>
          <w:rFonts w:asciiTheme="minorEastAsia" w:hAnsiTheme="minorEastAsia" w:cstheme="minorEastAsia" w:hint="eastAsia"/>
          <w:sz w:val="24"/>
        </w:rPr>
      </w:pPr>
      <w:r>
        <w:rPr>
          <w:rFonts w:asciiTheme="minorEastAsia" w:hAnsiTheme="minorEastAsia" w:cstheme="minorEastAsia" w:hint="eastAsia"/>
          <w:sz w:val="24"/>
        </w:rPr>
        <w:t>（2）申请人的遴选响应文件出现以下情况的属于重大偏差，将不得通过初步评审阶段：</w:t>
      </w:r>
    </w:p>
    <w:p w14:paraId="78C600FD" w14:textId="77777777" w:rsidR="009D412B" w:rsidRDefault="00000000">
      <w:pPr>
        <w:spacing w:line="480" w:lineRule="exact"/>
        <w:rPr>
          <w:rFonts w:asciiTheme="minorEastAsia" w:hAnsiTheme="minorEastAsia" w:cstheme="minorEastAsia" w:hint="eastAsia"/>
          <w:sz w:val="24"/>
        </w:rPr>
      </w:pPr>
      <w:r>
        <w:rPr>
          <w:rFonts w:asciiTheme="minorEastAsia" w:hAnsiTheme="minorEastAsia" w:cstheme="minorEastAsia" w:hint="eastAsia"/>
          <w:sz w:val="24"/>
        </w:rPr>
        <w:t>（3）未按照遴选文件规定递交参选资格要求证明文件；</w:t>
      </w:r>
    </w:p>
    <w:p w14:paraId="5F20DD99" w14:textId="77777777" w:rsidR="009D412B" w:rsidRDefault="00000000">
      <w:pPr>
        <w:spacing w:line="480" w:lineRule="exact"/>
        <w:rPr>
          <w:rFonts w:asciiTheme="minorEastAsia" w:hAnsiTheme="minorEastAsia" w:cstheme="minorEastAsia" w:hint="eastAsia"/>
          <w:sz w:val="24"/>
        </w:rPr>
      </w:pPr>
      <w:r>
        <w:rPr>
          <w:rFonts w:asciiTheme="minorEastAsia" w:hAnsiTheme="minorEastAsia" w:cstheme="minorEastAsia" w:hint="eastAsia"/>
          <w:sz w:val="24"/>
        </w:rPr>
        <w:t>（4）遴选应答文件没有加盖申请人公章；</w:t>
      </w:r>
    </w:p>
    <w:p w14:paraId="0AE221CF" w14:textId="77777777" w:rsidR="009D412B" w:rsidRDefault="00000000">
      <w:pPr>
        <w:spacing w:line="480" w:lineRule="exact"/>
        <w:rPr>
          <w:rFonts w:asciiTheme="minorEastAsia" w:hAnsiTheme="minorEastAsia" w:cstheme="minorEastAsia" w:hint="eastAsia"/>
          <w:sz w:val="24"/>
        </w:rPr>
      </w:pPr>
      <w:r>
        <w:rPr>
          <w:rFonts w:asciiTheme="minorEastAsia" w:hAnsiTheme="minorEastAsia" w:cstheme="minorEastAsia" w:hint="eastAsia"/>
          <w:sz w:val="24"/>
        </w:rPr>
        <w:t>（5）遴选应答文件附有医院不能接受的条件。</w:t>
      </w:r>
    </w:p>
    <w:p w14:paraId="2037B2E8" w14:textId="77777777" w:rsidR="009D412B" w:rsidRDefault="00000000">
      <w:pPr>
        <w:widowControl/>
        <w:spacing w:line="480" w:lineRule="exact"/>
        <w:jc w:val="left"/>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 xml:space="preserve">3.详细评审  </w:t>
      </w:r>
    </w:p>
    <w:p w14:paraId="13D7244F" w14:textId="77777777" w:rsidR="009D412B" w:rsidRDefault="00000000">
      <w:pPr>
        <w:spacing w:line="480" w:lineRule="exact"/>
        <w:rPr>
          <w:rFonts w:asciiTheme="minorEastAsia" w:hAnsiTheme="minorEastAsia" w:cstheme="minorEastAsia" w:hint="eastAsia"/>
          <w:sz w:val="24"/>
        </w:rPr>
      </w:pPr>
      <w:r>
        <w:rPr>
          <w:rFonts w:asciiTheme="minorEastAsia" w:hAnsiTheme="minorEastAsia" w:cstheme="minorEastAsia" w:hint="eastAsia"/>
          <w:sz w:val="24"/>
        </w:rPr>
        <w:t>（1）由评审小组根据量化考核评分标准对各申请人的遴选应答文件进行综合评价打分。具体对投标人企业实力、业绩、项目团队、服务方案、报价等打分，最终根据得分高低提出中选候选人名单。其中各考核项目的权重及分值设置见量化考核评分标准表。</w:t>
      </w:r>
    </w:p>
    <w:p w14:paraId="3F989CC0" w14:textId="77777777" w:rsidR="009D412B" w:rsidRDefault="00000000">
      <w:pPr>
        <w:tabs>
          <w:tab w:val="left" w:pos="2560"/>
        </w:tabs>
        <w:spacing w:line="480" w:lineRule="exact"/>
        <w:rPr>
          <w:rFonts w:asciiTheme="minorEastAsia" w:hAnsiTheme="minorEastAsia" w:cstheme="minorEastAsia" w:hint="eastAsia"/>
          <w:sz w:val="24"/>
        </w:rPr>
      </w:pPr>
      <w:r>
        <w:rPr>
          <w:rFonts w:asciiTheme="minorEastAsia" w:hAnsiTheme="minorEastAsia" w:cstheme="minorEastAsia" w:hint="eastAsia"/>
          <w:sz w:val="24"/>
        </w:rPr>
        <w:t xml:space="preserve">（2）评分时，评分计算保留至小数点后两位，第三位小数四舍五入； </w:t>
      </w:r>
    </w:p>
    <w:p w14:paraId="5CC2587A" w14:textId="77777777" w:rsidR="009D412B" w:rsidRDefault="00000000">
      <w:pPr>
        <w:widowControl/>
        <w:spacing w:line="480" w:lineRule="exact"/>
        <w:jc w:val="left"/>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4.量化考核评分标准表</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2240"/>
        <w:gridCol w:w="5539"/>
      </w:tblGrid>
      <w:tr w:rsidR="009D412B" w14:paraId="4915C7B5" w14:textId="77777777">
        <w:trPr>
          <w:jc w:val="center"/>
        </w:trPr>
        <w:tc>
          <w:tcPr>
            <w:tcW w:w="1134" w:type="dxa"/>
            <w:vAlign w:val="center"/>
          </w:tcPr>
          <w:p w14:paraId="26C91B49" w14:textId="77777777" w:rsidR="009D412B" w:rsidRDefault="00000000">
            <w:pPr>
              <w:spacing w:line="276" w:lineRule="auto"/>
              <w:jc w:val="center"/>
              <w:rPr>
                <w:rFonts w:ascii="宋体" w:hAnsi="宋体" w:cs="宋体" w:hint="eastAsia"/>
                <w:b/>
                <w:bCs/>
                <w:sz w:val="20"/>
                <w:szCs w:val="20"/>
              </w:rPr>
            </w:pPr>
            <w:r>
              <w:rPr>
                <w:rFonts w:ascii="宋体" w:hAnsi="宋体" w:cs="宋体" w:hint="eastAsia"/>
                <w:b/>
                <w:bCs/>
                <w:sz w:val="20"/>
                <w:szCs w:val="20"/>
              </w:rPr>
              <w:t>评分项目</w:t>
            </w:r>
          </w:p>
        </w:tc>
        <w:tc>
          <w:tcPr>
            <w:tcW w:w="851" w:type="dxa"/>
            <w:vAlign w:val="center"/>
          </w:tcPr>
          <w:p w14:paraId="0C2886A1" w14:textId="77777777" w:rsidR="009D412B" w:rsidRDefault="00000000">
            <w:pPr>
              <w:spacing w:line="276" w:lineRule="auto"/>
              <w:jc w:val="center"/>
              <w:rPr>
                <w:rFonts w:ascii="宋体" w:hAnsi="宋体" w:cs="宋体" w:hint="eastAsia"/>
                <w:b/>
                <w:bCs/>
                <w:sz w:val="20"/>
                <w:szCs w:val="20"/>
              </w:rPr>
            </w:pPr>
            <w:r>
              <w:rPr>
                <w:rFonts w:ascii="宋体" w:hAnsi="宋体" w:cs="宋体" w:hint="eastAsia"/>
                <w:b/>
                <w:bCs/>
                <w:sz w:val="20"/>
                <w:szCs w:val="20"/>
              </w:rPr>
              <w:t>总分</w:t>
            </w:r>
          </w:p>
        </w:tc>
        <w:tc>
          <w:tcPr>
            <w:tcW w:w="2240" w:type="dxa"/>
            <w:vAlign w:val="center"/>
          </w:tcPr>
          <w:p w14:paraId="09C1906E" w14:textId="77777777" w:rsidR="009D412B" w:rsidRDefault="00000000">
            <w:pPr>
              <w:spacing w:line="276" w:lineRule="auto"/>
              <w:jc w:val="center"/>
              <w:rPr>
                <w:rFonts w:ascii="宋体" w:hAnsi="宋体" w:cs="宋体" w:hint="eastAsia"/>
                <w:b/>
                <w:bCs/>
                <w:sz w:val="20"/>
                <w:szCs w:val="20"/>
              </w:rPr>
            </w:pPr>
            <w:r>
              <w:rPr>
                <w:rFonts w:ascii="宋体" w:hAnsi="宋体" w:cs="宋体" w:hint="eastAsia"/>
                <w:b/>
                <w:bCs/>
                <w:sz w:val="20"/>
                <w:szCs w:val="20"/>
              </w:rPr>
              <w:t>评分内容</w:t>
            </w:r>
          </w:p>
        </w:tc>
        <w:tc>
          <w:tcPr>
            <w:tcW w:w="5539" w:type="dxa"/>
            <w:vAlign w:val="center"/>
          </w:tcPr>
          <w:p w14:paraId="61CE7971" w14:textId="77777777" w:rsidR="009D412B" w:rsidRDefault="00000000">
            <w:pPr>
              <w:spacing w:line="276" w:lineRule="auto"/>
              <w:jc w:val="center"/>
              <w:rPr>
                <w:rFonts w:ascii="宋体" w:hAnsi="宋体" w:cs="宋体" w:hint="eastAsia"/>
                <w:b/>
                <w:bCs/>
                <w:sz w:val="20"/>
                <w:szCs w:val="20"/>
              </w:rPr>
            </w:pPr>
            <w:r>
              <w:rPr>
                <w:rFonts w:ascii="宋体" w:hAnsi="宋体" w:cs="宋体" w:hint="eastAsia"/>
                <w:b/>
                <w:bCs/>
                <w:sz w:val="20"/>
                <w:szCs w:val="20"/>
              </w:rPr>
              <w:t>评分标准</w:t>
            </w:r>
          </w:p>
        </w:tc>
      </w:tr>
      <w:tr w:rsidR="009D412B" w14:paraId="4C4E27D2" w14:textId="77777777">
        <w:trPr>
          <w:jc w:val="center"/>
        </w:trPr>
        <w:tc>
          <w:tcPr>
            <w:tcW w:w="1134" w:type="dxa"/>
            <w:vMerge w:val="restart"/>
            <w:vAlign w:val="center"/>
          </w:tcPr>
          <w:p w14:paraId="639B348E"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企业承接能力</w:t>
            </w:r>
          </w:p>
        </w:tc>
        <w:tc>
          <w:tcPr>
            <w:tcW w:w="851" w:type="dxa"/>
            <w:vMerge w:val="restart"/>
            <w:vAlign w:val="center"/>
          </w:tcPr>
          <w:p w14:paraId="543C2891"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12分</w:t>
            </w:r>
          </w:p>
        </w:tc>
        <w:tc>
          <w:tcPr>
            <w:tcW w:w="2240" w:type="dxa"/>
            <w:vAlign w:val="center"/>
          </w:tcPr>
          <w:p w14:paraId="22ED1B9E"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质量管理体系认证</w:t>
            </w:r>
          </w:p>
          <w:p w14:paraId="7D49472C"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（6分）</w:t>
            </w:r>
          </w:p>
        </w:tc>
        <w:tc>
          <w:tcPr>
            <w:tcW w:w="5539" w:type="dxa"/>
            <w:vAlign w:val="center"/>
          </w:tcPr>
          <w:p w14:paraId="7F3C6DD3"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具有ISO9001质量管理体系、环境管理体系认证和职业健康安全管理体系认证，每具备一个得2分，满分6分。</w:t>
            </w:r>
          </w:p>
        </w:tc>
      </w:tr>
      <w:tr w:rsidR="009D412B" w14:paraId="05C96825" w14:textId="77777777">
        <w:trPr>
          <w:jc w:val="center"/>
        </w:trPr>
        <w:tc>
          <w:tcPr>
            <w:tcW w:w="1134" w:type="dxa"/>
            <w:vMerge/>
            <w:vAlign w:val="center"/>
          </w:tcPr>
          <w:p w14:paraId="6D5A79FB" w14:textId="77777777" w:rsidR="009D412B" w:rsidRDefault="009D412B">
            <w:pPr>
              <w:spacing w:line="276" w:lineRule="auto"/>
              <w:jc w:val="center"/>
              <w:rPr>
                <w:rFonts w:ascii="宋体" w:hAnsi="宋体" w:cs="宋体" w:hint="eastAsia"/>
                <w:sz w:val="20"/>
                <w:szCs w:val="20"/>
              </w:rPr>
            </w:pPr>
          </w:p>
        </w:tc>
        <w:tc>
          <w:tcPr>
            <w:tcW w:w="851" w:type="dxa"/>
            <w:vMerge/>
            <w:vAlign w:val="center"/>
          </w:tcPr>
          <w:p w14:paraId="43067218" w14:textId="77777777" w:rsidR="009D412B" w:rsidRDefault="009D412B">
            <w:pPr>
              <w:spacing w:line="276" w:lineRule="auto"/>
              <w:jc w:val="center"/>
              <w:rPr>
                <w:rFonts w:ascii="宋体" w:hAnsi="宋体" w:cs="宋体" w:hint="eastAsia"/>
                <w:sz w:val="20"/>
                <w:szCs w:val="20"/>
              </w:rPr>
            </w:pPr>
          </w:p>
        </w:tc>
        <w:tc>
          <w:tcPr>
            <w:tcW w:w="2240" w:type="dxa"/>
            <w:vAlign w:val="center"/>
          </w:tcPr>
          <w:p w14:paraId="6953C960"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经营状况（6分）</w:t>
            </w:r>
          </w:p>
        </w:tc>
        <w:tc>
          <w:tcPr>
            <w:tcW w:w="5539" w:type="dxa"/>
            <w:vAlign w:val="center"/>
          </w:tcPr>
          <w:p w14:paraId="4E614CBA"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近两年经营状况良好，无亏损，提供2022年、2023年、2024年度审计报告复印件加盖单位公章，每提供1份得2分，最高得6分。</w:t>
            </w:r>
          </w:p>
        </w:tc>
      </w:tr>
      <w:tr w:rsidR="009D412B" w14:paraId="6C3F29E5" w14:textId="77777777">
        <w:trPr>
          <w:jc w:val="center"/>
        </w:trPr>
        <w:tc>
          <w:tcPr>
            <w:tcW w:w="1134" w:type="dxa"/>
            <w:vMerge w:val="restart"/>
            <w:vAlign w:val="center"/>
          </w:tcPr>
          <w:p w14:paraId="1AAD0E7D"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业绩</w:t>
            </w:r>
          </w:p>
        </w:tc>
        <w:tc>
          <w:tcPr>
            <w:tcW w:w="851" w:type="dxa"/>
            <w:vMerge w:val="restart"/>
            <w:vAlign w:val="center"/>
          </w:tcPr>
          <w:p w14:paraId="7C1189FA"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22分</w:t>
            </w:r>
          </w:p>
        </w:tc>
        <w:tc>
          <w:tcPr>
            <w:tcW w:w="2240" w:type="dxa"/>
            <w:vAlign w:val="center"/>
          </w:tcPr>
          <w:p w14:paraId="47E74158"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公司业绩（16分）</w:t>
            </w:r>
          </w:p>
        </w:tc>
        <w:tc>
          <w:tcPr>
            <w:tcW w:w="5539" w:type="dxa"/>
            <w:vAlign w:val="center"/>
          </w:tcPr>
          <w:p w14:paraId="0DC29AD3"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 xml:space="preserve">根据申请人2022年至2025年承担100万（含100万）以上的货物类或服务类或工程造价金额在100万元（含）以上的房屋建筑工程项目的招标业绩（以所代理项目的合同签订日期或中标通知书等证明文件复印件加盖公章），每提供一个得2分，满分16分 </w:t>
            </w:r>
          </w:p>
          <w:p w14:paraId="7DBA398F"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注：响应文件中应提供委托代理协议（至少包含合同首页和签字盖章页）、中标通知书作为证明材料，否则不予认可。业绩不重复计算。</w:t>
            </w:r>
          </w:p>
        </w:tc>
      </w:tr>
      <w:tr w:rsidR="009D412B" w14:paraId="3074E6BF" w14:textId="77777777">
        <w:trPr>
          <w:jc w:val="center"/>
        </w:trPr>
        <w:tc>
          <w:tcPr>
            <w:tcW w:w="1134" w:type="dxa"/>
            <w:vMerge/>
            <w:vAlign w:val="center"/>
          </w:tcPr>
          <w:p w14:paraId="4E371546" w14:textId="77777777" w:rsidR="009D412B" w:rsidRDefault="009D412B">
            <w:pPr>
              <w:spacing w:line="276" w:lineRule="auto"/>
              <w:jc w:val="center"/>
              <w:rPr>
                <w:rFonts w:ascii="宋体" w:hAnsi="宋体" w:cs="宋体" w:hint="eastAsia"/>
                <w:sz w:val="20"/>
                <w:szCs w:val="20"/>
              </w:rPr>
            </w:pPr>
          </w:p>
        </w:tc>
        <w:tc>
          <w:tcPr>
            <w:tcW w:w="851" w:type="dxa"/>
            <w:vMerge/>
            <w:vAlign w:val="center"/>
          </w:tcPr>
          <w:p w14:paraId="32380B9A" w14:textId="77777777" w:rsidR="009D412B" w:rsidRDefault="009D412B">
            <w:pPr>
              <w:spacing w:line="276" w:lineRule="auto"/>
              <w:jc w:val="center"/>
              <w:rPr>
                <w:rFonts w:ascii="宋体" w:hAnsi="宋体" w:cs="宋体" w:hint="eastAsia"/>
                <w:sz w:val="20"/>
                <w:szCs w:val="20"/>
              </w:rPr>
            </w:pPr>
          </w:p>
        </w:tc>
        <w:tc>
          <w:tcPr>
            <w:tcW w:w="2240" w:type="dxa"/>
            <w:vAlign w:val="center"/>
          </w:tcPr>
          <w:p w14:paraId="2B21DF60"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拟派项目负责人业绩</w:t>
            </w:r>
          </w:p>
          <w:p w14:paraId="4D8323D7"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（6分）</w:t>
            </w:r>
          </w:p>
        </w:tc>
        <w:tc>
          <w:tcPr>
            <w:tcW w:w="5539" w:type="dxa"/>
            <w:vAlign w:val="center"/>
          </w:tcPr>
          <w:p w14:paraId="3B02D143"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根据拟派项目负责人2022年至2025年承担过医疗或类似行业委托金额100万元及以上货物或服务类公开招标代理业务工作、工程造价在100万元及以上的房屋建筑工程项目招标工作（以所代理项目的合同签订日期为准），每提供一个得1分，满分6分。</w:t>
            </w:r>
          </w:p>
          <w:p w14:paraId="7622CF3A"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注：响应文件中应提供委托代理协议（至少包含合同首页和签字盖章页）或招标公告作为证明材料，否则不予认可。</w:t>
            </w:r>
          </w:p>
        </w:tc>
      </w:tr>
      <w:tr w:rsidR="009D412B" w14:paraId="1EC0F82E" w14:textId="77777777">
        <w:trPr>
          <w:trHeight w:val="2187"/>
          <w:jc w:val="center"/>
        </w:trPr>
        <w:tc>
          <w:tcPr>
            <w:tcW w:w="1134" w:type="dxa"/>
            <w:vMerge w:val="restart"/>
            <w:vAlign w:val="center"/>
          </w:tcPr>
          <w:p w14:paraId="0FC4FED6"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lastRenderedPageBreak/>
              <w:t>拟派项目团队</w:t>
            </w:r>
          </w:p>
        </w:tc>
        <w:tc>
          <w:tcPr>
            <w:tcW w:w="851" w:type="dxa"/>
            <w:vMerge w:val="restart"/>
            <w:vAlign w:val="center"/>
          </w:tcPr>
          <w:p w14:paraId="13711C3B"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20分</w:t>
            </w:r>
          </w:p>
        </w:tc>
        <w:tc>
          <w:tcPr>
            <w:tcW w:w="2240" w:type="dxa"/>
            <w:vAlign w:val="center"/>
          </w:tcPr>
          <w:p w14:paraId="7554B7A8"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拟派项目团队负责人（10分）</w:t>
            </w:r>
          </w:p>
        </w:tc>
        <w:tc>
          <w:tcPr>
            <w:tcW w:w="5539" w:type="dxa"/>
            <w:vAlign w:val="center"/>
          </w:tcPr>
          <w:p w14:paraId="4E169906"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1、是否为评标专家情况，提供评标专家证明材料（须加盖本单位公章），满足5分，否则本项不得分。</w:t>
            </w:r>
          </w:p>
          <w:p w14:paraId="53F951B9"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2、拟派项目负责人具备高级技术职称且具备10年（含）以上医疗行业招标代理经验，满足5分，否则本项不得分。注：响应文件中应提供项目负责人招标代理经验证明（加盖单位公章），否则不予认可。</w:t>
            </w:r>
          </w:p>
        </w:tc>
      </w:tr>
      <w:tr w:rsidR="009D412B" w14:paraId="1AE4515F" w14:textId="77777777">
        <w:trPr>
          <w:jc w:val="center"/>
        </w:trPr>
        <w:tc>
          <w:tcPr>
            <w:tcW w:w="1134" w:type="dxa"/>
            <w:vMerge/>
            <w:vAlign w:val="center"/>
          </w:tcPr>
          <w:p w14:paraId="6BFDCB9C" w14:textId="77777777" w:rsidR="009D412B" w:rsidRDefault="009D412B">
            <w:pPr>
              <w:spacing w:line="276" w:lineRule="auto"/>
              <w:jc w:val="center"/>
              <w:rPr>
                <w:rFonts w:ascii="宋体" w:hAnsi="宋体" w:cs="宋体" w:hint="eastAsia"/>
                <w:sz w:val="20"/>
                <w:szCs w:val="20"/>
              </w:rPr>
            </w:pPr>
          </w:p>
        </w:tc>
        <w:tc>
          <w:tcPr>
            <w:tcW w:w="851" w:type="dxa"/>
            <w:vMerge/>
            <w:vAlign w:val="center"/>
          </w:tcPr>
          <w:p w14:paraId="027903C8" w14:textId="77777777" w:rsidR="009D412B" w:rsidRDefault="009D412B">
            <w:pPr>
              <w:spacing w:line="276" w:lineRule="auto"/>
              <w:jc w:val="center"/>
              <w:rPr>
                <w:rFonts w:ascii="宋体" w:hAnsi="宋体" w:cs="宋体" w:hint="eastAsia"/>
                <w:sz w:val="20"/>
                <w:szCs w:val="20"/>
              </w:rPr>
            </w:pPr>
          </w:p>
        </w:tc>
        <w:tc>
          <w:tcPr>
            <w:tcW w:w="2240" w:type="dxa"/>
            <w:vAlign w:val="center"/>
          </w:tcPr>
          <w:p w14:paraId="7792B68A"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拟派项目团队（10分）</w:t>
            </w:r>
          </w:p>
        </w:tc>
        <w:tc>
          <w:tcPr>
            <w:tcW w:w="5539" w:type="dxa"/>
            <w:vAlign w:val="center"/>
          </w:tcPr>
          <w:p w14:paraId="5271D6C0"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拟派项目团队人员结构图清晰，人员配备充足，（包含招标业务人员、财务人员、质量控制人员、法律人员），团队人员从业经验丰富，合理完整，横向比对，好7-10分，一般3-6分，差0-2分。</w:t>
            </w:r>
          </w:p>
          <w:p w14:paraId="74487603"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注：响应文件中应提供项目团队人员相关证书</w:t>
            </w:r>
            <w:proofErr w:type="gramStart"/>
            <w:r>
              <w:rPr>
                <w:rFonts w:ascii="宋体" w:hAnsi="宋体" w:cs="宋体" w:hint="eastAsia"/>
                <w:sz w:val="20"/>
                <w:szCs w:val="20"/>
              </w:rPr>
              <w:t>复印件,</w:t>
            </w:r>
            <w:proofErr w:type="gramEnd"/>
            <w:r>
              <w:rPr>
                <w:rFonts w:ascii="宋体" w:hAnsi="宋体" w:cs="宋体" w:hint="eastAsia"/>
                <w:sz w:val="20"/>
                <w:szCs w:val="20"/>
              </w:rPr>
              <w:t>近6个月社保缴纳证明复印或劳动合同复印件（法律人员除外）（加盖单位公章）。</w:t>
            </w:r>
          </w:p>
        </w:tc>
      </w:tr>
      <w:tr w:rsidR="009D412B" w14:paraId="19BF2638" w14:textId="77777777">
        <w:trPr>
          <w:jc w:val="center"/>
        </w:trPr>
        <w:tc>
          <w:tcPr>
            <w:tcW w:w="1134" w:type="dxa"/>
            <w:vMerge w:val="restart"/>
            <w:vAlign w:val="center"/>
          </w:tcPr>
          <w:p w14:paraId="44125BCA"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服务方案</w:t>
            </w:r>
          </w:p>
        </w:tc>
        <w:tc>
          <w:tcPr>
            <w:tcW w:w="851" w:type="dxa"/>
            <w:vMerge w:val="restart"/>
            <w:vAlign w:val="center"/>
          </w:tcPr>
          <w:p w14:paraId="0F5829A8"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46分</w:t>
            </w:r>
          </w:p>
        </w:tc>
        <w:tc>
          <w:tcPr>
            <w:tcW w:w="2240" w:type="dxa"/>
            <w:vAlign w:val="center"/>
          </w:tcPr>
          <w:p w14:paraId="4442BA45"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招标代理服务方案</w:t>
            </w:r>
          </w:p>
          <w:p w14:paraId="4EF0B14C"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（30分）</w:t>
            </w:r>
          </w:p>
        </w:tc>
        <w:tc>
          <w:tcPr>
            <w:tcW w:w="5539" w:type="dxa"/>
            <w:vAlign w:val="center"/>
          </w:tcPr>
          <w:p w14:paraId="02CE8E59"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根据申请人提供的服务方案合理性、重难点分析，服务内容，针对性等综合评比，服务方案内容中至少应包括：</w:t>
            </w:r>
          </w:p>
          <w:p w14:paraId="4937A8B9"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（1）项目实施方案、服务保障措施（0-5分）</w:t>
            </w:r>
          </w:p>
          <w:p w14:paraId="7750AA7B"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（2）项目风险防控要点及应对措施（0-5分）</w:t>
            </w:r>
          </w:p>
          <w:p w14:paraId="6CA92964"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（3）项目质疑投诉处理保障（0-4分）</w:t>
            </w:r>
          </w:p>
          <w:p w14:paraId="30A5D325"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（4）项目质量控制措施及保密控制措施（0-5分）</w:t>
            </w:r>
          </w:p>
          <w:p w14:paraId="64A208FB"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（5）增值服务内容（市场调研、政策法规培训等）（0-5分）</w:t>
            </w:r>
          </w:p>
          <w:p w14:paraId="373F7D85"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（6）专家团队储备能力（0-6分）</w:t>
            </w:r>
          </w:p>
        </w:tc>
      </w:tr>
      <w:tr w:rsidR="009D412B" w14:paraId="23D9EEEB" w14:textId="77777777">
        <w:trPr>
          <w:jc w:val="center"/>
        </w:trPr>
        <w:tc>
          <w:tcPr>
            <w:tcW w:w="1134" w:type="dxa"/>
            <w:vMerge/>
            <w:vAlign w:val="center"/>
          </w:tcPr>
          <w:p w14:paraId="5529F015" w14:textId="77777777" w:rsidR="009D412B" w:rsidRDefault="009D412B">
            <w:pPr>
              <w:spacing w:line="276" w:lineRule="auto"/>
              <w:jc w:val="center"/>
              <w:rPr>
                <w:rFonts w:ascii="宋体" w:hAnsi="宋体" w:cs="宋体" w:hint="eastAsia"/>
                <w:sz w:val="20"/>
                <w:szCs w:val="20"/>
              </w:rPr>
            </w:pPr>
          </w:p>
        </w:tc>
        <w:tc>
          <w:tcPr>
            <w:tcW w:w="851" w:type="dxa"/>
            <w:vMerge/>
            <w:vAlign w:val="center"/>
          </w:tcPr>
          <w:p w14:paraId="44EC493E" w14:textId="77777777" w:rsidR="009D412B" w:rsidRDefault="009D412B">
            <w:pPr>
              <w:spacing w:line="276" w:lineRule="auto"/>
              <w:jc w:val="center"/>
              <w:rPr>
                <w:rFonts w:ascii="宋体" w:hAnsi="宋体" w:cs="宋体" w:hint="eastAsia"/>
                <w:sz w:val="20"/>
                <w:szCs w:val="20"/>
              </w:rPr>
            </w:pPr>
          </w:p>
        </w:tc>
        <w:tc>
          <w:tcPr>
            <w:tcW w:w="2240" w:type="dxa"/>
            <w:vAlign w:val="center"/>
          </w:tcPr>
          <w:p w14:paraId="37C2B3C7"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具有完备的政府采购资料档案保管的管理制度和场所（6分）</w:t>
            </w:r>
          </w:p>
        </w:tc>
        <w:tc>
          <w:tcPr>
            <w:tcW w:w="5539" w:type="dxa"/>
            <w:vAlign w:val="center"/>
          </w:tcPr>
          <w:p w14:paraId="4377B47B"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申请人有完备的政府采购资料档案保管的管理制度和场所，纸质和电子档案可以同时保存，承诺提供至少15年政府采购资料档案的查询、复印等服务，其中：</w:t>
            </w:r>
          </w:p>
          <w:p w14:paraId="6253AEB2"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（1）具备独立的档案保管仓库的，具备完备的政府采购资料档案管理制度的得3分，其余得0分。</w:t>
            </w:r>
          </w:p>
          <w:p w14:paraId="3F61BE9A"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（2）承诺提供至少15年政府采购资料档案的查询、复印等服务的得3分，其余得0分。</w:t>
            </w:r>
          </w:p>
        </w:tc>
      </w:tr>
      <w:tr w:rsidR="009D412B" w14:paraId="76D1452A" w14:textId="77777777">
        <w:trPr>
          <w:trHeight w:val="416"/>
          <w:jc w:val="center"/>
        </w:trPr>
        <w:tc>
          <w:tcPr>
            <w:tcW w:w="1134" w:type="dxa"/>
            <w:vMerge/>
            <w:vAlign w:val="center"/>
          </w:tcPr>
          <w:p w14:paraId="7AAF6018" w14:textId="77777777" w:rsidR="009D412B" w:rsidRDefault="009D412B">
            <w:pPr>
              <w:spacing w:line="276" w:lineRule="auto"/>
              <w:jc w:val="center"/>
              <w:rPr>
                <w:rFonts w:ascii="宋体" w:hAnsi="宋体" w:cs="宋体" w:hint="eastAsia"/>
                <w:sz w:val="20"/>
                <w:szCs w:val="20"/>
              </w:rPr>
            </w:pPr>
          </w:p>
        </w:tc>
        <w:tc>
          <w:tcPr>
            <w:tcW w:w="851" w:type="dxa"/>
            <w:vMerge/>
            <w:vAlign w:val="center"/>
          </w:tcPr>
          <w:p w14:paraId="350677CC" w14:textId="77777777" w:rsidR="009D412B" w:rsidRDefault="009D412B">
            <w:pPr>
              <w:spacing w:line="276" w:lineRule="auto"/>
              <w:jc w:val="center"/>
              <w:rPr>
                <w:rFonts w:ascii="宋体" w:hAnsi="宋体" w:cs="宋体" w:hint="eastAsia"/>
                <w:sz w:val="20"/>
                <w:szCs w:val="20"/>
              </w:rPr>
            </w:pPr>
          </w:p>
        </w:tc>
        <w:tc>
          <w:tcPr>
            <w:tcW w:w="2240" w:type="dxa"/>
            <w:vAlign w:val="center"/>
          </w:tcPr>
          <w:p w14:paraId="542EA958" w14:textId="77777777" w:rsidR="009D412B" w:rsidRDefault="00000000">
            <w:pPr>
              <w:spacing w:line="276" w:lineRule="auto"/>
              <w:jc w:val="center"/>
              <w:rPr>
                <w:rFonts w:ascii="宋体" w:hAnsi="宋体" w:cs="宋体" w:hint="eastAsia"/>
                <w:sz w:val="20"/>
                <w:szCs w:val="20"/>
              </w:rPr>
            </w:pPr>
            <w:r>
              <w:rPr>
                <w:rFonts w:ascii="宋体" w:hAnsi="宋体" w:cs="宋体" w:hint="eastAsia"/>
                <w:sz w:val="20"/>
                <w:szCs w:val="20"/>
              </w:rPr>
              <w:t>典型案例介绍：招标项目的规模、招标项目的专业性、招标项目的完成情况（10分）</w:t>
            </w:r>
          </w:p>
        </w:tc>
        <w:tc>
          <w:tcPr>
            <w:tcW w:w="5539" w:type="dxa"/>
            <w:vAlign w:val="center"/>
          </w:tcPr>
          <w:p w14:paraId="1D2385D0" w14:textId="77777777" w:rsidR="009D412B" w:rsidRDefault="00000000">
            <w:pPr>
              <w:spacing w:line="276" w:lineRule="auto"/>
              <w:rPr>
                <w:rFonts w:ascii="宋体" w:hAnsi="宋体" w:cs="宋体" w:hint="eastAsia"/>
                <w:sz w:val="20"/>
                <w:szCs w:val="20"/>
              </w:rPr>
            </w:pPr>
            <w:r>
              <w:rPr>
                <w:rFonts w:ascii="宋体" w:hAnsi="宋体" w:cs="宋体" w:hint="eastAsia"/>
                <w:sz w:val="20"/>
                <w:szCs w:val="20"/>
              </w:rPr>
              <w:t>申请人提供2022年至今承接完成的医疗设备或医疗服务或医院工程项目招标案例进行介绍，须提供每个项目的中标公告打印页、中标通知书和客户意见反馈表作为证明文件，符合要求的每个项目得2分，最高10分，证明材料不符合要求或案例类型不满足要求的得0分。</w:t>
            </w:r>
          </w:p>
        </w:tc>
      </w:tr>
    </w:tbl>
    <w:p w14:paraId="55575CD5" w14:textId="77777777" w:rsidR="009D412B" w:rsidRDefault="009D412B">
      <w:pPr>
        <w:spacing w:line="520" w:lineRule="exact"/>
        <w:rPr>
          <w:rFonts w:ascii="宋体" w:eastAsia="宋体" w:hAnsi="宋体" w:cs="宋体" w:hint="eastAsia"/>
          <w:b/>
          <w:bCs/>
          <w:kern w:val="0"/>
          <w:sz w:val="28"/>
          <w:szCs w:val="28"/>
        </w:rPr>
      </w:pPr>
    </w:p>
    <w:p w14:paraId="13914BE5" w14:textId="77777777" w:rsidR="009D412B" w:rsidRDefault="009D412B">
      <w:pPr>
        <w:spacing w:line="520" w:lineRule="exact"/>
        <w:rPr>
          <w:rFonts w:ascii="宋体" w:eastAsia="宋体" w:hAnsi="宋体" w:cs="宋体" w:hint="eastAsia"/>
          <w:b/>
          <w:bCs/>
          <w:kern w:val="0"/>
          <w:sz w:val="28"/>
          <w:szCs w:val="28"/>
        </w:rPr>
      </w:pPr>
    </w:p>
    <w:p w14:paraId="481954FA" w14:textId="77777777" w:rsidR="009D412B" w:rsidRDefault="009D412B">
      <w:pPr>
        <w:spacing w:line="520" w:lineRule="exact"/>
        <w:rPr>
          <w:rFonts w:ascii="宋体" w:eastAsia="宋体" w:hAnsi="宋体" w:cs="宋体" w:hint="eastAsia"/>
          <w:b/>
          <w:bCs/>
          <w:kern w:val="0"/>
          <w:sz w:val="28"/>
          <w:szCs w:val="28"/>
        </w:rPr>
      </w:pPr>
    </w:p>
    <w:p w14:paraId="0EDDCAEC" w14:textId="77777777" w:rsidR="009D412B" w:rsidRDefault="009D412B">
      <w:pPr>
        <w:spacing w:line="520" w:lineRule="exact"/>
        <w:rPr>
          <w:rFonts w:ascii="宋体" w:eastAsia="宋体" w:hAnsi="宋体" w:cs="宋体" w:hint="eastAsia"/>
          <w:b/>
          <w:bCs/>
          <w:kern w:val="0"/>
          <w:sz w:val="28"/>
          <w:szCs w:val="28"/>
        </w:rPr>
      </w:pPr>
    </w:p>
    <w:p w14:paraId="6DBE79E0" w14:textId="77777777" w:rsidR="009D412B" w:rsidRDefault="009D412B">
      <w:pPr>
        <w:spacing w:line="520" w:lineRule="exact"/>
        <w:rPr>
          <w:rFonts w:ascii="宋体" w:eastAsia="宋体" w:hAnsi="宋体" w:cs="宋体" w:hint="eastAsia"/>
          <w:b/>
          <w:bCs/>
          <w:kern w:val="0"/>
          <w:sz w:val="28"/>
          <w:szCs w:val="28"/>
        </w:rPr>
      </w:pPr>
    </w:p>
    <w:p w14:paraId="3F5684C8" w14:textId="77777777" w:rsidR="009D412B" w:rsidRDefault="009D412B">
      <w:pPr>
        <w:spacing w:line="520" w:lineRule="exact"/>
        <w:rPr>
          <w:rFonts w:ascii="宋体" w:eastAsia="宋体" w:hAnsi="宋体" w:cs="宋体" w:hint="eastAsia"/>
          <w:b/>
          <w:bCs/>
          <w:kern w:val="0"/>
          <w:sz w:val="28"/>
          <w:szCs w:val="28"/>
        </w:rPr>
      </w:pPr>
    </w:p>
    <w:p w14:paraId="7B26D903" w14:textId="7ADCA951" w:rsidR="009D412B" w:rsidRDefault="009D412B">
      <w:pPr>
        <w:widowControl/>
        <w:spacing w:line="520" w:lineRule="exact"/>
        <w:ind w:firstLineChars="1200" w:firstLine="2520"/>
        <w:jc w:val="center"/>
        <w:rPr>
          <w:rFonts w:hint="eastAsia"/>
        </w:rPr>
        <w:sectPr w:rsidR="009D412B">
          <w:pgSz w:w="11906" w:h="16838"/>
          <w:pgMar w:top="850" w:right="1797" w:bottom="850" w:left="1797" w:header="851" w:footer="992" w:gutter="0"/>
          <w:cols w:space="0"/>
          <w:docGrid w:type="lines" w:linePitch="312"/>
        </w:sectPr>
      </w:pPr>
    </w:p>
    <w:bookmarkEnd w:id="0"/>
    <w:bookmarkEnd w:id="1"/>
    <w:p w14:paraId="1C603E41" w14:textId="77777777" w:rsidR="009D412B" w:rsidRDefault="009D412B">
      <w:pPr>
        <w:pStyle w:val="2"/>
        <w:keepNext/>
        <w:ind w:leftChars="0" w:left="0" w:firstLineChars="0" w:firstLine="0"/>
        <w:rPr>
          <w:rFonts w:ascii="仿宋" w:eastAsia="仿宋" w:hAnsi="仿宋" w:cs="仿宋" w:hint="eastAsia"/>
          <w:sz w:val="30"/>
          <w:szCs w:val="30"/>
        </w:rPr>
      </w:pPr>
    </w:p>
    <w:sectPr w:rsidR="009D412B">
      <w:pgSz w:w="11906" w:h="16838"/>
      <w:pgMar w:top="850" w:right="567" w:bottom="850" w:left="1134"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C113"/>
    <w:multiLevelType w:val="singleLevel"/>
    <w:tmpl w:val="0BE1C113"/>
    <w:lvl w:ilvl="0">
      <w:start w:val="1"/>
      <w:numFmt w:val="decimal"/>
      <w:lvlText w:val="%1."/>
      <w:lvlJc w:val="left"/>
      <w:pPr>
        <w:tabs>
          <w:tab w:val="left" w:pos="312"/>
        </w:tabs>
      </w:pPr>
    </w:lvl>
  </w:abstractNum>
  <w:num w:numId="1" w16cid:durableId="39833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420"/>
  <w:drawingGridVerticalSpacing w:val="161"/>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ED"/>
    <w:rsid w:val="000B49A7"/>
    <w:rsid w:val="00103C8E"/>
    <w:rsid w:val="001152ED"/>
    <w:rsid w:val="00184C4D"/>
    <w:rsid w:val="00191304"/>
    <w:rsid w:val="002363FD"/>
    <w:rsid w:val="00241CE6"/>
    <w:rsid w:val="002D5B7E"/>
    <w:rsid w:val="00327AD1"/>
    <w:rsid w:val="00377632"/>
    <w:rsid w:val="0039565C"/>
    <w:rsid w:val="003D71DD"/>
    <w:rsid w:val="003F7A00"/>
    <w:rsid w:val="004003DD"/>
    <w:rsid w:val="004432B9"/>
    <w:rsid w:val="00460E51"/>
    <w:rsid w:val="004668F3"/>
    <w:rsid w:val="00495046"/>
    <w:rsid w:val="00512093"/>
    <w:rsid w:val="005601BE"/>
    <w:rsid w:val="005B51E5"/>
    <w:rsid w:val="005C5018"/>
    <w:rsid w:val="00643DA2"/>
    <w:rsid w:val="00665EC7"/>
    <w:rsid w:val="00675448"/>
    <w:rsid w:val="006F34CF"/>
    <w:rsid w:val="007579E7"/>
    <w:rsid w:val="007F64BD"/>
    <w:rsid w:val="008B64E4"/>
    <w:rsid w:val="008C212D"/>
    <w:rsid w:val="00902C95"/>
    <w:rsid w:val="009D412B"/>
    <w:rsid w:val="00A655A5"/>
    <w:rsid w:val="00AA4DC0"/>
    <w:rsid w:val="00B45F09"/>
    <w:rsid w:val="00B6001F"/>
    <w:rsid w:val="00C7292A"/>
    <w:rsid w:val="00C737D5"/>
    <w:rsid w:val="00D85A3C"/>
    <w:rsid w:val="00DE3704"/>
    <w:rsid w:val="00E37B04"/>
    <w:rsid w:val="00E82901"/>
    <w:rsid w:val="00EA2C41"/>
    <w:rsid w:val="00F3636C"/>
    <w:rsid w:val="00F3722C"/>
    <w:rsid w:val="00F42403"/>
    <w:rsid w:val="00FA7D70"/>
    <w:rsid w:val="00FD47A2"/>
    <w:rsid w:val="00FE44DC"/>
    <w:rsid w:val="02F361E7"/>
    <w:rsid w:val="039937B3"/>
    <w:rsid w:val="041A1B6C"/>
    <w:rsid w:val="04CE0E12"/>
    <w:rsid w:val="050E4159"/>
    <w:rsid w:val="059609B9"/>
    <w:rsid w:val="061C335C"/>
    <w:rsid w:val="064227E1"/>
    <w:rsid w:val="06572FF5"/>
    <w:rsid w:val="06BD3CC5"/>
    <w:rsid w:val="06FE56AB"/>
    <w:rsid w:val="070A487F"/>
    <w:rsid w:val="074F3C36"/>
    <w:rsid w:val="07647CAF"/>
    <w:rsid w:val="07CC1CB4"/>
    <w:rsid w:val="081E1299"/>
    <w:rsid w:val="08945AC3"/>
    <w:rsid w:val="09F51DE4"/>
    <w:rsid w:val="0A450191"/>
    <w:rsid w:val="0A5237FA"/>
    <w:rsid w:val="0B6F78B7"/>
    <w:rsid w:val="0BFF2EBA"/>
    <w:rsid w:val="0CA42BD8"/>
    <w:rsid w:val="0D62070F"/>
    <w:rsid w:val="0D9738CC"/>
    <w:rsid w:val="0DEE357D"/>
    <w:rsid w:val="0E6701EA"/>
    <w:rsid w:val="0EB02670"/>
    <w:rsid w:val="0EB04892"/>
    <w:rsid w:val="100F74E2"/>
    <w:rsid w:val="12A8439E"/>
    <w:rsid w:val="13286696"/>
    <w:rsid w:val="140275A9"/>
    <w:rsid w:val="1461341D"/>
    <w:rsid w:val="1493684A"/>
    <w:rsid w:val="151A2F68"/>
    <w:rsid w:val="1527098B"/>
    <w:rsid w:val="156F6F58"/>
    <w:rsid w:val="15987365"/>
    <w:rsid w:val="160570A5"/>
    <w:rsid w:val="16734D3C"/>
    <w:rsid w:val="16E44A1C"/>
    <w:rsid w:val="17621E13"/>
    <w:rsid w:val="179A748B"/>
    <w:rsid w:val="17D6329D"/>
    <w:rsid w:val="18465E5E"/>
    <w:rsid w:val="187F413E"/>
    <w:rsid w:val="19574206"/>
    <w:rsid w:val="19923A16"/>
    <w:rsid w:val="19DF017E"/>
    <w:rsid w:val="1B5F199C"/>
    <w:rsid w:val="1BF95900"/>
    <w:rsid w:val="1CF92AA1"/>
    <w:rsid w:val="1D3A6203"/>
    <w:rsid w:val="1D9D334A"/>
    <w:rsid w:val="1DAA72BB"/>
    <w:rsid w:val="1DBA1E36"/>
    <w:rsid w:val="1E0B4E34"/>
    <w:rsid w:val="1E31784A"/>
    <w:rsid w:val="1E672A4F"/>
    <w:rsid w:val="1E7548A8"/>
    <w:rsid w:val="207109C7"/>
    <w:rsid w:val="214B6854"/>
    <w:rsid w:val="21BF55DA"/>
    <w:rsid w:val="224D325A"/>
    <w:rsid w:val="22975FB3"/>
    <w:rsid w:val="22D80E84"/>
    <w:rsid w:val="231E56F3"/>
    <w:rsid w:val="23202F41"/>
    <w:rsid w:val="25EA7317"/>
    <w:rsid w:val="27261F4F"/>
    <w:rsid w:val="27711715"/>
    <w:rsid w:val="282D24F2"/>
    <w:rsid w:val="29CC1A1F"/>
    <w:rsid w:val="29FD2D2E"/>
    <w:rsid w:val="2AE00267"/>
    <w:rsid w:val="2B237F63"/>
    <w:rsid w:val="2B465319"/>
    <w:rsid w:val="2CA521B9"/>
    <w:rsid w:val="30826C3F"/>
    <w:rsid w:val="3090589A"/>
    <w:rsid w:val="31457098"/>
    <w:rsid w:val="322A108E"/>
    <w:rsid w:val="3277020C"/>
    <w:rsid w:val="329A03D7"/>
    <w:rsid w:val="33671633"/>
    <w:rsid w:val="33B84BF4"/>
    <w:rsid w:val="33F44EE0"/>
    <w:rsid w:val="36533B43"/>
    <w:rsid w:val="36640366"/>
    <w:rsid w:val="378F147B"/>
    <w:rsid w:val="37A62074"/>
    <w:rsid w:val="38AE00F7"/>
    <w:rsid w:val="38B36399"/>
    <w:rsid w:val="38D61D11"/>
    <w:rsid w:val="390F7A62"/>
    <w:rsid w:val="392F7762"/>
    <w:rsid w:val="3AAB33ED"/>
    <w:rsid w:val="3AE41555"/>
    <w:rsid w:val="3AE528E2"/>
    <w:rsid w:val="3C013200"/>
    <w:rsid w:val="3C5E539B"/>
    <w:rsid w:val="3CBC38B5"/>
    <w:rsid w:val="3DD62E90"/>
    <w:rsid w:val="3E9B6F90"/>
    <w:rsid w:val="3EBF5DFF"/>
    <w:rsid w:val="3FB2551D"/>
    <w:rsid w:val="3FFA42A3"/>
    <w:rsid w:val="4003744C"/>
    <w:rsid w:val="41005FE4"/>
    <w:rsid w:val="41722035"/>
    <w:rsid w:val="425C24B7"/>
    <w:rsid w:val="42E62712"/>
    <w:rsid w:val="43567FEF"/>
    <w:rsid w:val="43AB7742"/>
    <w:rsid w:val="43B076D3"/>
    <w:rsid w:val="44D426B2"/>
    <w:rsid w:val="44E32D08"/>
    <w:rsid w:val="450F35D8"/>
    <w:rsid w:val="45DB5242"/>
    <w:rsid w:val="464D3AA2"/>
    <w:rsid w:val="465F17F1"/>
    <w:rsid w:val="46884C9F"/>
    <w:rsid w:val="478919A6"/>
    <w:rsid w:val="49617312"/>
    <w:rsid w:val="49A26ECB"/>
    <w:rsid w:val="49B04B46"/>
    <w:rsid w:val="4A013F2B"/>
    <w:rsid w:val="4A107C04"/>
    <w:rsid w:val="4A114624"/>
    <w:rsid w:val="4A485D88"/>
    <w:rsid w:val="4A527F26"/>
    <w:rsid w:val="4B331249"/>
    <w:rsid w:val="4B3413F4"/>
    <w:rsid w:val="4B6030DB"/>
    <w:rsid w:val="4B934F41"/>
    <w:rsid w:val="4BB00DE9"/>
    <w:rsid w:val="4BDF23EB"/>
    <w:rsid w:val="4CB73B32"/>
    <w:rsid w:val="4CFD77FC"/>
    <w:rsid w:val="4DC65FB0"/>
    <w:rsid w:val="4E4B3F48"/>
    <w:rsid w:val="4F290415"/>
    <w:rsid w:val="4F3B1CA9"/>
    <w:rsid w:val="504F44D2"/>
    <w:rsid w:val="508C269C"/>
    <w:rsid w:val="50CA3DEC"/>
    <w:rsid w:val="50E132DB"/>
    <w:rsid w:val="51703158"/>
    <w:rsid w:val="537F071A"/>
    <w:rsid w:val="53F16A6F"/>
    <w:rsid w:val="54E70EA1"/>
    <w:rsid w:val="54E93814"/>
    <w:rsid w:val="55DB305A"/>
    <w:rsid w:val="55DE1DB6"/>
    <w:rsid w:val="56421729"/>
    <w:rsid w:val="56985E5E"/>
    <w:rsid w:val="58247B6F"/>
    <w:rsid w:val="58456BA3"/>
    <w:rsid w:val="591C26A8"/>
    <w:rsid w:val="59236970"/>
    <w:rsid w:val="5A2B2B17"/>
    <w:rsid w:val="5C2D58E9"/>
    <w:rsid w:val="5CEE0CE5"/>
    <w:rsid w:val="5DEF6529"/>
    <w:rsid w:val="5F39402B"/>
    <w:rsid w:val="5F46332C"/>
    <w:rsid w:val="600B0E00"/>
    <w:rsid w:val="60B32E55"/>
    <w:rsid w:val="60B50B3A"/>
    <w:rsid w:val="61D44955"/>
    <w:rsid w:val="626165A0"/>
    <w:rsid w:val="62B866A9"/>
    <w:rsid w:val="62F020DA"/>
    <w:rsid w:val="6451193B"/>
    <w:rsid w:val="65361E4D"/>
    <w:rsid w:val="653E2B51"/>
    <w:rsid w:val="655167BB"/>
    <w:rsid w:val="65E40F5B"/>
    <w:rsid w:val="65E87798"/>
    <w:rsid w:val="66DC500C"/>
    <w:rsid w:val="670819DE"/>
    <w:rsid w:val="67896569"/>
    <w:rsid w:val="67FB2273"/>
    <w:rsid w:val="685B71E6"/>
    <w:rsid w:val="68D55036"/>
    <w:rsid w:val="6992771C"/>
    <w:rsid w:val="69F77890"/>
    <w:rsid w:val="6B0434E8"/>
    <w:rsid w:val="6C593A33"/>
    <w:rsid w:val="6C8F0697"/>
    <w:rsid w:val="6CAD551A"/>
    <w:rsid w:val="6D020ACE"/>
    <w:rsid w:val="6E0468B2"/>
    <w:rsid w:val="6E6D7D9F"/>
    <w:rsid w:val="6F04710A"/>
    <w:rsid w:val="70251BD9"/>
    <w:rsid w:val="70602B38"/>
    <w:rsid w:val="718B6E1F"/>
    <w:rsid w:val="719E2169"/>
    <w:rsid w:val="723563E9"/>
    <w:rsid w:val="73E51DB1"/>
    <w:rsid w:val="74036465"/>
    <w:rsid w:val="740974DB"/>
    <w:rsid w:val="75F17D50"/>
    <w:rsid w:val="76504106"/>
    <w:rsid w:val="772A4BD3"/>
    <w:rsid w:val="78B23707"/>
    <w:rsid w:val="7A0A572F"/>
    <w:rsid w:val="7A161EA0"/>
    <w:rsid w:val="7AB81A81"/>
    <w:rsid w:val="7B674D4F"/>
    <w:rsid w:val="7B8E1DC2"/>
    <w:rsid w:val="7BF97844"/>
    <w:rsid w:val="7CA84901"/>
    <w:rsid w:val="7D407C3B"/>
    <w:rsid w:val="7D7B12C3"/>
    <w:rsid w:val="7DDA3F52"/>
    <w:rsid w:val="7E2303F8"/>
    <w:rsid w:val="7E804E7C"/>
    <w:rsid w:val="7E864EDB"/>
    <w:rsid w:val="7EA96B5C"/>
    <w:rsid w:val="7EC3000F"/>
    <w:rsid w:val="7F7706C3"/>
    <w:rsid w:val="7F8479CA"/>
    <w:rsid w:val="7FB47E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57D04"/>
  <w15:docId w15:val="{85416D95-C525-4D5F-BD83-B8284879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header" w:qFormat="1"/>
    <w:lsdException w:name="footer" w:qFormat="1"/>
    <w:lsdException w:name="caption" w:semiHidden="1" w:unhideWhenUsed="1" w:qFormat="1"/>
    <w:lsdException w:name="List 2" w:qFormat="1"/>
    <w:lsdException w:name="Title" w:qFormat="1"/>
    <w:lsdException w:name="Default Paragraph Font" w:semiHidden="1" w:uiPriority="1" w:unhideWhenUsed="1" w:qFormat="1"/>
    <w:lsdException w:name="Body Text Indent" w:semiHidden="1" w:uiPriority="99" w:unhideWhenUsed="1" w:qFormat="1"/>
    <w:lsdException w:name="Subtitle"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szCs w:val="20"/>
    </w:rPr>
  </w:style>
  <w:style w:type="paragraph" w:styleId="a4">
    <w:name w:val="Body Text Indent"/>
    <w:basedOn w:val="a"/>
    <w:uiPriority w:val="99"/>
    <w:semiHidden/>
    <w:unhideWhenUsed/>
    <w:qFormat/>
    <w:pPr>
      <w:spacing w:after="120"/>
      <w:ind w:leftChars="200" w:left="420"/>
    </w:pPr>
  </w:style>
  <w:style w:type="paragraph" w:styleId="2">
    <w:name w:val="List 2"/>
    <w:basedOn w:val="a"/>
    <w:qFormat/>
    <w:pPr>
      <w:ind w:leftChars="200" w:left="100" w:hangingChars="200" w:hanging="2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qFormat/>
    <w:pPr>
      <w:tabs>
        <w:tab w:val="right" w:leader="dot" w:pos="8937"/>
      </w:tabs>
      <w:spacing w:line="312" w:lineRule="auto"/>
      <w:ind w:leftChars="200" w:left="420"/>
    </w:pPr>
  </w:style>
  <w:style w:type="paragraph" w:styleId="ab">
    <w:name w:val="Normal (Web)"/>
    <w:basedOn w:val="a"/>
    <w:qFormat/>
    <w:rPr>
      <w:sz w:val="24"/>
    </w:rPr>
  </w:style>
  <w:style w:type="paragraph" w:styleId="20">
    <w:name w:val="Body Text First Indent 2"/>
    <w:basedOn w:val="a4"/>
    <w:uiPriority w:val="99"/>
    <w:qFormat/>
    <w:pPr>
      <w:ind w:firstLineChars="200" w:firstLine="420"/>
    </w:pPr>
  </w:style>
  <w:style w:type="character" w:styleId="ac">
    <w:name w:val="Strong"/>
    <w:basedOn w:val="a0"/>
    <w:qFormat/>
    <w:rPr>
      <w:b/>
    </w:rPr>
  </w:style>
  <w:style w:type="character" w:styleId="ad">
    <w:name w:val="FollowedHyperlink"/>
    <w:basedOn w:val="a0"/>
    <w:qFormat/>
    <w:rPr>
      <w:rFonts w:ascii="宋体" w:eastAsia="宋体" w:hAnsi="宋体" w:cs="宋体" w:hint="eastAsia"/>
      <w:color w:val="333333"/>
      <w:sz w:val="18"/>
      <w:szCs w:val="18"/>
      <w:u w:val="none"/>
    </w:rPr>
  </w:style>
  <w:style w:type="character" w:styleId="ae">
    <w:name w:val="Hyperlink"/>
    <w:basedOn w:val="a0"/>
    <w:qFormat/>
    <w:rPr>
      <w:rFonts w:ascii="宋体" w:eastAsia="宋体" w:hAnsi="宋体" w:cs="宋体" w:hint="eastAsia"/>
      <w:color w:val="333333"/>
      <w:sz w:val="18"/>
      <w:szCs w:val="18"/>
      <w:u w:val="none"/>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customStyle="1" w:styleId="1">
    <w:name w:val="列出段落1"/>
    <w:basedOn w:val="a"/>
    <w:uiPriority w:val="34"/>
    <w:qFormat/>
    <w:pPr>
      <w:ind w:firstLineChars="200" w:firstLine="420"/>
    </w:pPr>
  </w:style>
  <w:style w:type="character" w:customStyle="1" w:styleId="font11">
    <w:name w:val="font11"/>
    <w:basedOn w:val="a0"/>
    <w:qFormat/>
    <w:rPr>
      <w:rFonts w:ascii="Times New Roman" w:hAnsi="Times New Roman" w:cs="Times New Roman" w:hint="default"/>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2"/>
      <w:szCs w:val="22"/>
      <w:u w:val="single"/>
    </w:rPr>
  </w:style>
  <w:style w:type="character" w:customStyle="1" w:styleId="font61">
    <w:name w:val="font6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1948</Words>
  <Characters>2008</Characters>
  <Application>Microsoft Office Word</Application>
  <DocSecurity>0</DocSecurity>
  <Lines>118</Lines>
  <Paragraphs>116</Paragraphs>
  <ScaleCrop>false</ScaleCrop>
  <Company>Sky123.Org</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zwrjx</dc:creator>
  <cp:lastModifiedBy>李树彬</cp:lastModifiedBy>
  <cp:revision>2</cp:revision>
  <cp:lastPrinted>2023-09-15T06:02:00Z</cp:lastPrinted>
  <dcterms:created xsi:type="dcterms:W3CDTF">2025-08-29T02:37:00Z</dcterms:created>
  <dcterms:modified xsi:type="dcterms:W3CDTF">2025-08-29T02:37:00Z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AC8C5CC6521C4BB9A53F0CFDAC912B7E</vt:lpwstr>
  </property>
</Properties>
</file>